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0EB0E457" w:rsidR="0007462B" w:rsidRDefault="00FE0911"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333499A0" wp14:editId="12EF224D">
            <wp:simplePos x="0" y="0"/>
            <wp:positionH relativeFrom="column">
              <wp:posOffset>0</wp:posOffset>
            </wp:positionH>
            <wp:positionV relativeFrom="paragraph">
              <wp:posOffset>-41625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2ECD34A5" w:rsidR="00B50585" w:rsidRPr="00504631" w:rsidRDefault="00D92F1A" w:rsidP="00F22A0D">
            <w:pPr>
              <w:tabs>
                <w:tab w:val="left" w:pos="2625"/>
              </w:tabs>
              <w:spacing w:before="240"/>
            </w:pPr>
            <w:r>
              <w:t>B0</w:t>
            </w:r>
            <w:r w:rsidR="00C17D27">
              <w:t>9. Insights &amp; Strategic Thinking</w:t>
            </w:r>
            <w:r w:rsidR="00A8666C">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7CDEABCD" w14:textId="77777777" w:rsidR="00426B7E" w:rsidRDefault="00426B7E" w:rsidP="00426B7E">
            <w:pPr>
              <w:spacing w:after="0"/>
            </w:pPr>
          </w:p>
          <w:p w14:paraId="66E27D47" w14:textId="0CB36BD9" w:rsidR="00BE2600" w:rsidRPr="00D82C4F" w:rsidRDefault="005863E4" w:rsidP="00426B7E">
            <w:pPr>
              <w:spacing w:after="0"/>
            </w:pPr>
            <w:r w:rsidRPr="005863E4">
              <w:t>Campaigns that showed the greatest fresh insights and strategic thinking to lead to the communications idea and achieve the marketing objectives. This is the thinking before the creative brief, as opposed to the creative idea or execution. Judges are looking for examples of where an agency has taken a client’s brief, and through fresh insight or inspired problem solving, developed a ground-breaking strategic direction. Judges will need to see a clear delineation between the strategic and creative thinking and understand how the strategic and creative platforms have or will deliver long-term success for the brand.</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r w:rsidR="00CB58E7" w14:paraId="0C367C8E" w14:textId="77777777" w:rsidTr="00CB58E7">
        <w:tc>
          <w:tcPr>
            <w:tcW w:w="10762" w:type="dxa"/>
            <w:gridSpan w:val="2"/>
            <w:tcBorders>
              <w:top w:val="nil"/>
              <w:left w:val="nil"/>
              <w:bottom w:val="nil"/>
              <w:right w:val="nil"/>
            </w:tcBorders>
            <w:shd w:val="clear" w:color="auto" w:fill="E7E6E6" w:themeFill="background2"/>
          </w:tcPr>
          <w:p w14:paraId="201978A8" w14:textId="5AD4B4AE" w:rsidR="00CB58E7" w:rsidRPr="003D7059" w:rsidRDefault="00CB58E7" w:rsidP="00D146EC">
            <w:pPr>
              <w:spacing w:before="120" w:after="120"/>
              <w:ind w:left="1018"/>
            </w:pPr>
            <w:r w:rsidRPr="00FC1FE0">
              <w:t>Why was the Strategic Thinking so impressive? Tell us why we should be considering this paper in this category. (No more than 100 words. These words do not count towards your total word count)</w:t>
            </w:r>
            <w:r>
              <w:t>.</w:t>
            </w:r>
          </w:p>
        </w:tc>
      </w:tr>
      <w:tr w:rsidR="00810BA3" w14:paraId="5C371A4D" w14:textId="77777777" w:rsidTr="003D7059">
        <w:tc>
          <w:tcPr>
            <w:tcW w:w="993" w:type="dxa"/>
            <w:tcBorders>
              <w:top w:val="nil"/>
              <w:left w:val="nil"/>
              <w:bottom w:val="nil"/>
              <w:right w:val="nil"/>
            </w:tcBorders>
            <w:shd w:val="clear" w:color="auto" w:fill="auto"/>
          </w:tcPr>
          <w:p w14:paraId="3EA21117" w14:textId="77777777" w:rsidR="00810BA3" w:rsidRPr="003D7059" w:rsidRDefault="00810BA3"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A766CC1" w14:textId="5778703E" w:rsidR="00810BA3" w:rsidRPr="003D7059" w:rsidRDefault="00CB58E7" w:rsidP="00D802A3">
            <w:pPr>
              <w:spacing w:before="240" w:after="0"/>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837A01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w:t>
            </w:r>
            <w:r w:rsidR="00287A42">
              <w:rPr>
                <w:b/>
                <w:bCs/>
                <w:sz w:val="20"/>
                <w:szCs w:val="24"/>
              </w:rPr>
              <w:t>2</w:t>
            </w:r>
            <w:r w:rsidR="003D7059" w:rsidRPr="003D7059">
              <w:rPr>
                <w:b/>
                <w:bCs/>
                <w:sz w:val="20"/>
                <w:szCs w:val="24"/>
              </w:rPr>
              <w:t>5%)</w:t>
            </w:r>
          </w:p>
          <w:p w14:paraId="5F753D4C" w14:textId="340EC06B" w:rsidR="003D7059" w:rsidRDefault="00287A42" w:rsidP="00994427">
            <w:pPr>
              <w:spacing w:before="240"/>
            </w:pPr>
            <w:r w:rsidRPr="00287A42">
              <w:t>You need to convince the judges why this entry deserves to win based on your strategy. You need to show how your market analysis, insights and interpretation were developed into a clever strategic direction that unlocked the solution and was instrumental in the success of the campaign.</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18B28AF3"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w:t>
            </w:r>
            <w:r w:rsidR="00287A42">
              <w:rPr>
                <w:b/>
                <w:bCs/>
                <w:sz w:val="20"/>
                <w:szCs w:val="24"/>
              </w:rPr>
              <w:t>5</w:t>
            </w:r>
            <w:r w:rsidRPr="0057530B">
              <w:rPr>
                <w:b/>
                <w:bCs/>
                <w:sz w:val="20"/>
                <w:szCs w:val="24"/>
              </w:rPr>
              <w:t>%]</w:t>
            </w:r>
          </w:p>
          <w:p w14:paraId="1C71C3AC" w14:textId="4359A07C" w:rsidR="003D7059" w:rsidRDefault="00CC47B4" w:rsidP="00994427">
            <w:pPr>
              <w:spacing w:before="240"/>
            </w:pPr>
            <w:r w:rsidRPr="00390169">
              <w:t xml:space="preserve">State in one sentence. What was your core idea that drove your effort? Consider ‘idea’ in the broadest sense, </w:t>
            </w:r>
            <w:proofErr w:type="spellStart"/>
            <w:r w:rsidRPr="00390169">
              <w:t>ie</w:t>
            </w:r>
            <w:proofErr w:type="spellEnd"/>
            <w:r w:rsidRPr="00390169">
              <w:t>. ranging from communication-based to the creation of a new service or resource. The idea should not be your execution or tagline</w:t>
            </w:r>
            <w:r w:rsidRPr="008C62DB">
              <w: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73D4F8F3" w:rsidR="0057530B" w:rsidRDefault="0057530B" w:rsidP="00994427">
            <w:pPr>
              <w:spacing w:before="240"/>
              <w:rPr>
                <w:b/>
                <w:bCs/>
                <w:sz w:val="20"/>
                <w:szCs w:val="24"/>
              </w:rPr>
            </w:pPr>
            <w:r w:rsidRPr="0057530B">
              <w:rPr>
                <w:b/>
                <w:bCs/>
                <w:sz w:val="20"/>
                <w:szCs w:val="24"/>
              </w:rPr>
              <w:t>WHAT WAS THE CREATIVE EXECUTION AND HOW DID IT BRING THE BIG IDEA TO LIFE?  [1</w:t>
            </w:r>
            <w:r w:rsidR="00287A42">
              <w:rPr>
                <w:b/>
                <w:bCs/>
                <w:sz w:val="20"/>
                <w:szCs w:val="24"/>
              </w:rPr>
              <w:t>0</w:t>
            </w:r>
            <w:r w:rsidRPr="0057530B">
              <w:rPr>
                <w:b/>
                <w:bCs/>
                <w:sz w:val="20"/>
                <w:szCs w:val="24"/>
              </w:rPr>
              <w:t>%]</w:t>
            </w:r>
          </w:p>
          <w:p w14:paraId="4985F7D4" w14:textId="4A1BE6C3" w:rsidR="0057530B" w:rsidRDefault="00857A63" w:rsidP="00994427">
            <w:r w:rsidRPr="00857A63">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298DED72" w14:textId="77777777" w:rsidR="0057530B" w:rsidRDefault="00BB5F83" w:rsidP="00BB5F83">
            <w:pPr>
              <w:spacing w:before="240"/>
            </w:pPr>
            <w:r>
              <w:t>Indicate the extent to which any revised pricing, distribution or promotion programmes also affected the results.</w:t>
            </w:r>
          </w:p>
          <w:p w14:paraId="37ED4278" w14:textId="44DAFC44" w:rsidR="007A4A86" w:rsidRDefault="007A4A86" w:rsidP="00BB5F83">
            <w:pPr>
              <w:spacing w:before="240"/>
            </w:pPr>
            <w:r>
              <w:lastRenderedPageBreak/>
              <w:t xml:space="preserve">Any marketing communications that contributed significantly to delivering an integrated campaign strategy and results should be described elsewhere in the entry form and any relevant contributing partners acknowledged in credits separate to the entry </w:t>
            </w:r>
            <w:proofErr w:type="gramStart"/>
            <w:r>
              <w:t>form..</w:t>
            </w:r>
            <w:proofErr w:type="gramEnd"/>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1F55E01A"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0B06BFB5" w:rsidR="007832C5" w:rsidRDefault="007832C5" w:rsidP="007832C5">
            <w:r>
              <w:t>In this section, the judges will be looking to see a clear cause and effect between the communication activity and business performance over</w:t>
            </w:r>
            <w:r w:rsidR="007F1114">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164698AC" w14:textId="77777777" w:rsidR="008F6A14" w:rsidRDefault="008F6A14" w:rsidP="008F6A14">
            <w:pPr>
              <w:pStyle w:val="Bullets"/>
              <w:numPr>
                <w:ilvl w:val="0"/>
                <w:numId w:val="0"/>
              </w:numPr>
              <w:spacing w:after="120" w:line="240" w:lineRule="auto"/>
              <w:contextualSpacing w:val="0"/>
              <w:rPr>
                <w:b/>
                <w:bCs/>
              </w:rPr>
            </w:pPr>
          </w:p>
          <w:p w14:paraId="746351E5" w14:textId="5135C154" w:rsidR="007832C5" w:rsidRDefault="008F6A14" w:rsidP="008F6A14">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4322" w14:textId="77777777" w:rsidR="002C3349" w:rsidRDefault="002C3349" w:rsidP="008D53BC">
      <w:pPr>
        <w:spacing w:after="0" w:line="240" w:lineRule="auto"/>
      </w:pPr>
      <w:r>
        <w:separator/>
      </w:r>
    </w:p>
  </w:endnote>
  <w:endnote w:type="continuationSeparator" w:id="0">
    <w:p w14:paraId="11B23322" w14:textId="77777777" w:rsidR="002C3349" w:rsidRDefault="002C3349"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6968D22A" w:rsidR="0057530B" w:rsidRDefault="00927C0B">
    <w:pPr>
      <w:pStyle w:val="Footer"/>
    </w:pPr>
    <w:r>
      <w:rPr>
        <w:noProof/>
      </w:rPr>
      <w:drawing>
        <wp:anchor distT="0" distB="0" distL="114300" distR="114300" simplePos="0" relativeHeight="251665408" behindDoc="0" locked="0" layoutInCell="1" allowOverlap="1" wp14:anchorId="0C1C6B69" wp14:editId="7BCB8EF8">
          <wp:simplePos x="0" y="0"/>
          <wp:positionH relativeFrom="column">
            <wp:posOffset>5588635</wp:posOffset>
          </wp:positionH>
          <wp:positionV relativeFrom="paragraph">
            <wp:posOffset>39939</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043CDCD8">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5F60" w14:textId="77777777" w:rsidR="002C3349" w:rsidRDefault="002C3349" w:rsidP="008D53BC">
      <w:pPr>
        <w:spacing w:after="0" w:line="240" w:lineRule="auto"/>
      </w:pPr>
      <w:r>
        <w:separator/>
      </w:r>
    </w:p>
  </w:footnote>
  <w:footnote w:type="continuationSeparator" w:id="0">
    <w:p w14:paraId="0F41BF29" w14:textId="77777777" w:rsidR="002C3349" w:rsidRDefault="002C3349"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163D573A" w:rsidR="00CC1DBD" w:rsidRPr="00E4240B" w:rsidRDefault="00701B8A" w:rsidP="00CC1DBD">
    <w:pPr>
      <w:pStyle w:val="EffieHeader"/>
      <w:tabs>
        <w:tab w:val="clear" w:pos="3686"/>
        <w:tab w:val="left" w:pos="5670"/>
        <w:tab w:val="right" w:pos="10772"/>
      </w:tabs>
    </w:pPr>
    <w:r>
      <w:t>B</w:t>
    </w:r>
    <w:r w:rsidR="00B612FF">
      <w:t>0</w:t>
    </w:r>
    <w:r w:rsidR="00C17D27">
      <w:t>9. – Insights &amp; Strategic Thinking</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16B3"/>
    <w:rsid w:val="00013FF4"/>
    <w:rsid w:val="000260BD"/>
    <w:rsid w:val="0003108B"/>
    <w:rsid w:val="00052B5F"/>
    <w:rsid w:val="00061A34"/>
    <w:rsid w:val="00071FFB"/>
    <w:rsid w:val="0007462B"/>
    <w:rsid w:val="00092967"/>
    <w:rsid w:val="000A181C"/>
    <w:rsid w:val="000B0C99"/>
    <w:rsid w:val="000C5A53"/>
    <w:rsid w:val="000D0331"/>
    <w:rsid w:val="000E4EB5"/>
    <w:rsid w:val="000E6731"/>
    <w:rsid w:val="00105B54"/>
    <w:rsid w:val="001359DF"/>
    <w:rsid w:val="001365FE"/>
    <w:rsid w:val="00155BFE"/>
    <w:rsid w:val="001765DC"/>
    <w:rsid w:val="00185987"/>
    <w:rsid w:val="001A052D"/>
    <w:rsid w:val="001A0CBA"/>
    <w:rsid w:val="001A3B69"/>
    <w:rsid w:val="001C1491"/>
    <w:rsid w:val="00217D45"/>
    <w:rsid w:val="00235EF1"/>
    <w:rsid w:val="002425BE"/>
    <w:rsid w:val="002460FE"/>
    <w:rsid w:val="002602E0"/>
    <w:rsid w:val="00263FF1"/>
    <w:rsid w:val="0027453A"/>
    <w:rsid w:val="0027700F"/>
    <w:rsid w:val="00287A42"/>
    <w:rsid w:val="00292286"/>
    <w:rsid w:val="002935EA"/>
    <w:rsid w:val="002A6BE0"/>
    <w:rsid w:val="002C3349"/>
    <w:rsid w:val="00303313"/>
    <w:rsid w:val="00313516"/>
    <w:rsid w:val="00337A03"/>
    <w:rsid w:val="00350020"/>
    <w:rsid w:val="00357192"/>
    <w:rsid w:val="003632DA"/>
    <w:rsid w:val="00371323"/>
    <w:rsid w:val="0038023C"/>
    <w:rsid w:val="003840C7"/>
    <w:rsid w:val="003968C7"/>
    <w:rsid w:val="003A14B4"/>
    <w:rsid w:val="003D7059"/>
    <w:rsid w:val="003D73C2"/>
    <w:rsid w:val="003E2C98"/>
    <w:rsid w:val="00426B7E"/>
    <w:rsid w:val="00430016"/>
    <w:rsid w:val="004C5498"/>
    <w:rsid w:val="004D0682"/>
    <w:rsid w:val="004E7B49"/>
    <w:rsid w:val="005006E5"/>
    <w:rsid w:val="00504631"/>
    <w:rsid w:val="00510900"/>
    <w:rsid w:val="00514171"/>
    <w:rsid w:val="0051788E"/>
    <w:rsid w:val="00525E7D"/>
    <w:rsid w:val="005263D0"/>
    <w:rsid w:val="00537F9B"/>
    <w:rsid w:val="00541D44"/>
    <w:rsid w:val="00544F20"/>
    <w:rsid w:val="00552759"/>
    <w:rsid w:val="0057530B"/>
    <w:rsid w:val="005863E4"/>
    <w:rsid w:val="005A3F90"/>
    <w:rsid w:val="005C5CF8"/>
    <w:rsid w:val="00612423"/>
    <w:rsid w:val="0061664C"/>
    <w:rsid w:val="006225AC"/>
    <w:rsid w:val="00636FC1"/>
    <w:rsid w:val="0064209D"/>
    <w:rsid w:val="00645551"/>
    <w:rsid w:val="0066591F"/>
    <w:rsid w:val="00665F72"/>
    <w:rsid w:val="006754A2"/>
    <w:rsid w:val="00693E7A"/>
    <w:rsid w:val="0069602A"/>
    <w:rsid w:val="006E055E"/>
    <w:rsid w:val="006E73E5"/>
    <w:rsid w:val="00701B8A"/>
    <w:rsid w:val="00701F62"/>
    <w:rsid w:val="007145D6"/>
    <w:rsid w:val="00763FCA"/>
    <w:rsid w:val="00770005"/>
    <w:rsid w:val="007832C5"/>
    <w:rsid w:val="007A4A86"/>
    <w:rsid w:val="007B341E"/>
    <w:rsid w:val="007B7509"/>
    <w:rsid w:val="007C6F82"/>
    <w:rsid w:val="007D637D"/>
    <w:rsid w:val="007F1114"/>
    <w:rsid w:val="008059CE"/>
    <w:rsid w:val="00805AC3"/>
    <w:rsid w:val="00810BA3"/>
    <w:rsid w:val="00815E1A"/>
    <w:rsid w:val="008221D8"/>
    <w:rsid w:val="00843987"/>
    <w:rsid w:val="008518D9"/>
    <w:rsid w:val="00857907"/>
    <w:rsid w:val="00857A63"/>
    <w:rsid w:val="00861D5E"/>
    <w:rsid w:val="00872B24"/>
    <w:rsid w:val="00892C27"/>
    <w:rsid w:val="00896F9C"/>
    <w:rsid w:val="008979E5"/>
    <w:rsid w:val="008B138C"/>
    <w:rsid w:val="008B4E7F"/>
    <w:rsid w:val="008C62DB"/>
    <w:rsid w:val="008D53BC"/>
    <w:rsid w:val="008D68A4"/>
    <w:rsid w:val="008E7D06"/>
    <w:rsid w:val="008F6A14"/>
    <w:rsid w:val="009002E4"/>
    <w:rsid w:val="009042B8"/>
    <w:rsid w:val="00905F51"/>
    <w:rsid w:val="00915CF8"/>
    <w:rsid w:val="00927C0B"/>
    <w:rsid w:val="0093293E"/>
    <w:rsid w:val="00933088"/>
    <w:rsid w:val="00935B14"/>
    <w:rsid w:val="0095217F"/>
    <w:rsid w:val="00975CBC"/>
    <w:rsid w:val="00977BD7"/>
    <w:rsid w:val="0099057F"/>
    <w:rsid w:val="0099556C"/>
    <w:rsid w:val="009B0648"/>
    <w:rsid w:val="009C0481"/>
    <w:rsid w:val="009C0F87"/>
    <w:rsid w:val="009E4D29"/>
    <w:rsid w:val="009F23D0"/>
    <w:rsid w:val="00A10DDB"/>
    <w:rsid w:val="00A226AF"/>
    <w:rsid w:val="00A41899"/>
    <w:rsid w:val="00A853A6"/>
    <w:rsid w:val="00A8666C"/>
    <w:rsid w:val="00AB34AB"/>
    <w:rsid w:val="00AF036E"/>
    <w:rsid w:val="00AF10B4"/>
    <w:rsid w:val="00B10234"/>
    <w:rsid w:val="00B22A1D"/>
    <w:rsid w:val="00B42C86"/>
    <w:rsid w:val="00B50585"/>
    <w:rsid w:val="00B612FF"/>
    <w:rsid w:val="00B63EDF"/>
    <w:rsid w:val="00B7549A"/>
    <w:rsid w:val="00B755F0"/>
    <w:rsid w:val="00BA11E4"/>
    <w:rsid w:val="00BB5F83"/>
    <w:rsid w:val="00BB6AD2"/>
    <w:rsid w:val="00BC2625"/>
    <w:rsid w:val="00BC6475"/>
    <w:rsid w:val="00BE2600"/>
    <w:rsid w:val="00BE2804"/>
    <w:rsid w:val="00C13B32"/>
    <w:rsid w:val="00C17D27"/>
    <w:rsid w:val="00C46280"/>
    <w:rsid w:val="00C56EE0"/>
    <w:rsid w:val="00C66D53"/>
    <w:rsid w:val="00C70BAE"/>
    <w:rsid w:val="00C82B3B"/>
    <w:rsid w:val="00C83F89"/>
    <w:rsid w:val="00CA1195"/>
    <w:rsid w:val="00CA1B7E"/>
    <w:rsid w:val="00CB14CC"/>
    <w:rsid w:val="00CB2A22"/>
    <w:rsid w:val="00CB37DA"/>
    <w:rsid w:val="00CB4DFA"/>
    <w:rsid w:val="00CB58E7"/>
    <w:rsid w:val="00CC1DBD"/>
    <w:rsid w:val="00CC47B4"/>
    <w:rsid w:val="00CF16A2"/>
    <w:rsid w:val="00D13186"/>
    <w:rsid w:val="00D146EC"/>
    <w:rsid w:val="00D37E00"/>
    <w:rsid w:val="00D60B2F"/>
    <w:rsid w:val="00D7176E"/>
    <w:rsid w:val="00D802A3"/>
    <w:rsid w:val="00D82C4F"/>
    <w:rsid w:val="00D92A6E"/>
    <w:rsid w:val="00D92F1A"/>
    <w:rsid w:val="00D94320"/>
    <w:rsid w:val="00D97E4F"/>
    <w:rsid w:val="00DB5044"/>
    <w:rsid w:val="00DC6A00"/>
    <w:rsid w:val="00DD1DFF"/>
    <w:rsid w:val="00DE6120"/>
    <w:rsid w:val="00E22D1C"/>
    <w:rsid w:val="00E26D9D"/>
    <w:rsid w:val="00E33327"/>
    <w:rsid w:val="00E4240B"/>
    <w:rsid w:val="00E51160"/>
    <w:rsid w:val="00E643CC"/>
    <w:rsid w:val="00E66867"/>
    <w:rsid w:val="00E75C5D"/>
    <w:rsid w:val="00EB27D2"/>
    <w:rsid w:val="00EB46D6"/>
    <w:rsid w:val="00EC7F61"/>
    <w:rsid w:val="00F02F35"/>
    <w:rsid w:val="00F03C54"/>
    <w:rsid w:val="00F104EE"/>
    <w:rsid w:val="00F22A0D"/>
    <w:rsid w:val="00F43C71"/>
    <w:rsid w:val="00F529B3"/>
    <w:rsid w:val="00F643C8"/>
    <w:rsid w:val="00F6636C"/>
    <w:rsid w:val="00F773F5"/>
    <w:rsid w:val="00F87E14"/>
    <w:rsid w:val="00FA3761"/>
    <w:rsid w:val="00FB5291"/>
    <w:rsid w:val="00FE091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19</cp:revision>
  <cp:lastPrinted>2023-04-20T05:40:00Z</cp:lastPrinted>
  <dcterms:created xsi:type="dcterms:W3CDTF">2023-03-28T01:46:00Z</dcterms:created>
  <dcterms:modified xsi:type="dcterms:W3CDTF">2023-04-25T21:52:00Z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